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tabs>
          <w:tab w:val="clear" w:pos="709"/>
          <w:tab w:val="left" w:pos="614" w:leader="none"/>
        </w:tabs>
        <w:bidi w:val="0"/>
        <w:spacing w:lineRule="auto" w:line="276"/>
        <w:ind w:hanging="0"/>
        <w:rPr>
          <w:b/>
          <w:bCs/>
        </w:rPr>
      </w:pPr>
      <w:r>
        <w:rPr>
          <w:b/>
          <w:bCs/>
        </w:rPr>
        <w:t>Перечень</w:t>
      </w:r>
    </w:p>
    <w:p>
      <w:pPr>
        <w:pStyle w:val="2"/>
        <w:tabs>
          <w:tab w:val="clear" w:pos="709"/>
          <w:tab w:val="left" w:pos="614" w:leader="none"/>
        </w:tabs>
        <w:bidi w:val="0"/>
        <w:spacing w:lineRule="auto" w:line="276"/>
        <w:ind w:hanging="0"/>
        <w:rPr>
          <w:b w:val="false"/>
          <w:bCs w:val="false"/>
        </w:rPr>
      </w:pPr>
      <w:r>
        <w:rPr>
          <w:b w:val="false"/>
          <w:bCs w:val="false"/>
        </w:rPr>
        <w:t>услуг (работ), размеры платы за услуги (работы) иных видов деятельности, приносящих доход и не являющихся основными видами деятельности ФГБУ «РосАПКимущество»</w:t>
      </w:r>
    </w:p>
    <w:p>
      <w:pPr>
        <w:pStyle w:val="Normal"/>
        <w:bidi w:val="0"/>
        <w:jc w:val="left"/>
        <w:rPr/>
      </w:pPr>
      <w:r>
        <w:rPr/>
      </w:r>
    </w:p>
    <w:tbl>
      <w:tblPr>
        <w:tblW w:w="9923" w:type="dxa"/>
        <w:jc w:val="left"/>
        <w:tblInd w:w="-714" w:type="dxa"/>
        <w:tblLayout w:type="fixed"/>
        <w:tblCellMar>
          <w:top w:w="0" w:type="dxa"/>
          <w:left w:w="108" w:type="dxa"/>
          <w:bottom w:w="0" w:type="dxa"/>
          <w:right w:w="108" w:type="dxa"/>
        </w:tblCellMar>
        <w:tblLook w:val="04a0" w:noHBand="0" w:noVBand="1" w:firstColumn="1" w:lastRow="0" w:lastColumn="0" w:firstRow="1"/>
      </w:tblPr>
      <w:tblGrid>
        <w:gridCol w:w="709"/>
        <w:gridCol w:w="3261"/>
        <w:gridCol w:w="1983"/>
        <w:gridCol w:w="1276"/>
        <w:gridCol w:w="1276"/>
        <w:gridCol w:w="1418"/>
      </w:tblGrid>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40" w:before="0" w:after="0"/>
              <w:ind w:hanging="0"/>
              <w:contextualSpacing/>
              <w:rPr>
                <w:b/>
                <w:sz w:val="24"/>
                <w:szCs w:val="24"/>
              </w:rPr>
            </w:pPr>
            <w:r>
              <w:rPr>
                <w:b/>
                <w:sz w:val="24"/>
                <w:szCs w:val="24"/>
              </w:rPr>
              <w:t xml:space="preserve">№ </w:t>
            </w:r>
            <w:r>
              <w:rPr>
                <w:b/>
                <w:sz w:val="24"/>
                <w:szCs w:val="24"/>
              </w:rPr>
              <w:t>п/п</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tabs>
                <w:tab w:val="clear" w:pos="709"/>
                <w:tab w:val="left" w:pos="614" w:leader="none"/>
              </w:tabs>
              <w:bidi w:val="0"/>
              <w:spacing w:lineRule="auto" w:line="240" w:before="0" w:after="0"/>
              <w:ind w:hanging="0"/>
              <w:contextualSpacing/>
              <w:rPr>
                <w:b/>
                <w:sz w:val="24"/>
                <w:szCs w:val="24"/>
              </w:rPr>
            </w:pPr>
            <w:r>
              <w:rPr>
                <w:b/>
                <w:sz w:val="24"/>
                <w:szCs w:val="24"/>
              </w:rPr>
              <w:t>Наименование услуги (работы)</w:t>
            </w:r>
          </w:p>
          <w:p>
            <w:pPr>
              <w:pStyle w:val="2"/>
              <w:widowControl w:val="false"/>
              <w:tabs>
                <w:tab w:val="clear" w:pos="709"/>
                <w:tab w:val="left" w:pos="614" w:leader="none"/>
              </w:tabs>
              <w:bidi w:val="0"/>
              <w:spacing w:lineRule="auto" w:line="240" w:before="0" w:after="0"/>
              <w:ind w:hanging="0"/>
              <w:contextualSpacing/>
              <w:rPr>
                <w:b/>
                <w:sz w:val="24"/>
                <w:szCs w:val="24"/>
              </w:rPr>
            </w:pPr>
            <w:r>
              <w:rPr>
                <w:b/>
                <w:sz w:val="24"/>
                <w:szCs w:val="24"/>
              </w:rPr>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40" w:before="0" w:after="0"/>
              <w:ind w:hanging="0"/>
              <w:contextualSpacing/>
              <w:rPr>
                <w:b/>
                <w:sz w:val="24"/>
                <w:szCs w:val="24"/>
              </w:rPr>
            </w:pPr>
            <w:r>
              <w:rPr>
                <w:b/>
                <w:sz w:val="24"/>
                <w:szCs w:val="24"/>
              </w:rPr>
              <w:t>Единица измерения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40" w:before="0" w:after="0"/>
              <w:ind w:hanging="0"/>
              <w:contextualSpacing/>
              <w:rPr>
                <w:b/>
                <w:sz w:val="24"/>
                <w:szCs w:val="24"/>
              </w:rPr>
            </w:pPr>
            <w:r>
              <w:rPr>
                <w:b/>
                <w:sz w:val="24"/>
                <w:szCs w:val="24"/>
              </w:rPr>
              <w:t>Базовый размер платы, руб.</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before="0" w:after="0"/>
              <w:ind w:hanging="0"/>
              <w:contextualSpacing/>
              <w:rPr>
                <w:b/>
                <w:sz w:val="22"/>
                <w:szCs w:val="22"/>
              </w:rPr>
            </w:pPr>
            <w:r>
              <w:rPr>
                <w:b/>
                <w:sz w:val="22"/>
                <w:szCs w:val="22"/>
              </w:rPr>
              <w:t xml:space="preserve">Размер платы </w:t>
              <w:br/>
              <w:t xml:space="preserve">с учетом </w:t>
            </w:r>
          </w:p>
          <w:p>
            <w:pPr>
              <w:pStyle w:val="2"/>
              <w:widowControl w:val="false"/>
              <w:shd w:val="clear" w:color="auto" w:fill="auto"/>
              <w:tabs>
                <w:tab w:val="clear" w:pos="709"/>
                <w:tab w:val="left" w:pos="614" w:leader="none"/>
              </w:tabs>
              <w:bidi w:val="0"/>
              <w:spacing w:lineRule="auto" w:line="276" w:before="0" w:after="0"/>
              <w:ind w:hanging="0"/>
              <w:contextualSpacing/>
              <w:rPr>
                <w:b/>
                <w:sz w:val="22"/>
                <w:szCs w:val="22"/>
              </w:rPr>
            </w:pPr>
            <w:r>
              <w:rPr>
                <w:b/>
                <w:sz w:val="22"/>
                <w:szCs w:val="22"/>
                <w:lang w:val="en-US"/>
              </w:rPr>
              <w:t>I</w:t>
            </w:r>
          </w:p>
          <w:p>
            <w:pPr>
              <w:pStyle w:val="2"/>
              <w:widowControl w:val="false"/>
              <w:shd w:val="clear" w:color="auto" w:fill="auto"/>
              <w:tabs>
                <w:tab w:val="clear" w:pos="709"/>
                <w:tab w:val="left" w:pos="614" w:leader="none"/>
              </w:tabs>
              <w:bidi w:val="0"/>
              <w:spacing w:lineRule="auto" w:line="276" w:before="0" w:after="0"/>
              <w:ind w:hanging="0"/>
              <w:contextualSpacing/>
              <w:rPr>
                <w:b/>
                <w:i/>
                <w:i/>
                <w:sz w:val="22"/>
                <w:szCs w:val="22"/>
              </w:rPr>
            </w:pPr>
            <w:r>
              <w:rPr>
                <w:b/>
                <w:sz w:val="22"/>
                <w:szCs w:val="22"/>
              </w:rPr>
              <w:t>категории сложности</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before="0" w:after="0"/>
              <w:ind w:hanging="0"/>
              <w:contextualSpacing/>
              <w:rPr>
                <w:b/>
                <w:sz w:val="24"/>
                <w:szCs w:val="24"/>
              </w:rPr>
            </w:pPr>
            <w:r>
              <w:rPr>
                <w:b/>
                <w:sz w:val="22"/>
                <w:szCs w:val="22"/>
              </w:rPr>
              <w:t xml:space="preserve">Размер платы </w:t>
              <w:br/>
              <w:t xml:space="preserve">с учетом </w:t>
            </w:r>
            <w:r>
              <w:rPr>
                <w:b/>
                <w:sz w:val="22"/>
                <w:szCs w:val="22"/>
                <w:lang w:val="en-US"/>
              </w:rPr>
              <w:t>II</w:t>
            </w:r>
            <w:r>
              <w:rPr>
                <w:b/>
                <w:sz w:val="22"/>
                <w:szCs w:val="22"/>
              </w:rPr>
              <w:t xml:space="preserve"> категории сложности</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Услуги по внесению сведений в РФС АПК </w:t>
              <w:br/>
              <w:t xml:space="preserve">в отношении имущества (ОКС, ЗУ и ОЦДИ) </w:t>
              <w:br/>
              <w:t>за подведомственную организацию на основании предоставленных документов без проверки достоверности</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объект имущества</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200,00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2</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Услуги по сопровождению оформления и получения документов по объекту недвижимого имущества </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документ</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3 000, 00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3</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Услуги по внесению, изменению и исключению сведений об объектах учета в реестре федерального имущества (РФИ) на основании предоставленных документов</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объект учета</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200,00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4</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Услуги по оцифровке документов, формат А4</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 страница</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5</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Услуги по оцифровке документов, формат А3</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 страница</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15,00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6</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Ведение личного кабинета правообладателя на МВ-Портале (годовое обслуживание) </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Год</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5 000,00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7</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Подготовка проекта обращения в Росимущество </w:t>
              <w:br/>
              <w:t xml:space="preserve">и его территориальные органы, федеральный орган исполнительной власти по вопросам, связанным </w:t>
              <w:br/>
              <w:t>с управлением имуществом, находящимся в собственности Российской Федерации и представленным на соответствующем вещном праве правообладателям (на основании предоставленных документов, без подготовки пакета необходимых документов и осуществления дополнительных запросов)</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объект имущества</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8</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Подготовка проекта обращения в Росимущество </w:t>
              <w:br/>
              <w:t xml:space="preserve">и его территориальные органы, федеральный орган исполнительной власти по вопросам, связанным </w:t>
              <w:br/>
              <w:t xml:space="preserve">с управлением имуществом, находящимся в собственности Российской Федерации и представленным на соответствующем вещном праве правообладателям, </w:t>
              <w:br/>
              <w:t xml:space="preserve">с подготовкой пакета необходимых документов </w:t>
              <w:br/>
              <w:t>и осуществлением дополнительных запросов</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объект имущества</w:t>
            </w:r>
          </w:p>
        </w:tc>
        <w:tc>
          <w:tcPr>
            <w:tcW w:w="3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20 000,00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9</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Подготовка комплекта документов для оспаривания кадастровой стоимости </w:t>
              <w:br/>
              <w:t>в комиссии по рассмотрению споров о результатах определения кадастровой стоимости (досудебное урегулирование)</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объект имущества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15 000,00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20 000,00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Подготовка правовых справок, заключений, разъяснение норм </w:t>
              <w:br/>
              <w:t xml:space="preserve">и положений законодательства </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подготовленный документ</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8 000,00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12 000,00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16 000,00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Предоставление устно консультационных услуг (работ) по документам/ материалам дела/судебного разбирательства по вопросам использования движимого </w:t>
              <w:br/>
              <w:t>и недвижимого имущества</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Одна консультация,</w:t>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одно дело/судебное разбирательство</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3 500,00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5 000,00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6 000,00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Предоставление письменно консультационных услуг (работ) без ознакомления </w:t>
              <w:br/>
              <w:t xml:space="preserve">с документами/материалами дела/судебного разбирательства по вопросам использования движимого </w:t>
              <w:br/>
              <w:t>и недвижимого имущества</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Одна консультация,</w:t>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 xml:space="preserve">одно дело/судебное разбирательство </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15</w:t>
            </w:r>
            <w:r>
              <w:rPr>
                <w:sz w:val="24"/>
                <w:szCs w:val="24"/>
                <w:lang w:val="en-US"/>
              </w:rPr>
              <w:t xml:space="preserve"> </w:t>
            </w:r>
            <w:r>
              <w:rPr>
                <w:sz w:val="24"/>
                <w:szCs w:val="24"/>
              </w:rPr>
              <w:t>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20</w:t>
            </w:r>
            <w:r>
              <w:rPr>
                <w:sz w:val="24"/>
                <w:szCs w:val="24"/>
                <w:lang w:val="en-US"/>
              </w:rPr>
              <w:t xml:space="preserve"> </w:t>
            </w:r>
            <w:r>
              <w:rPr>
                <w:sz w:val="24"/>
                <w:szCs w:val="24"/>
              </w:rPr>
              <w:t>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Предоставление консультационных услуг (работ) и подготовка процессуальных документов (жалобы, претензии, исковые заявления, требования, ходатайства, возражения, отзывы и т.д.) без ознакомления с материалами дела в суде/уполномоченном органе и представления интересов*</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По одному делу/судебному разбирательству</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15 000,00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35 000,00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45 000,00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Предоставление консультационных услуг (работ) и подготовка процессуальных документов (жалобы, претензии, исковые заявления, требования, ходатайства, возражения, отзывы и прочее) </w:t>
              <w:br/>
              <w:t xml:space="preserve">с ознакомлением представителя исполнителя </w:t>
              <w:br/>
              <w:t xml:space="preserve">с материалами дела </w:t>
              <w:br/>
              <w:t>в суде/уполномоченном органе*</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По одному делу/ судебному разбирательству</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22 000,00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40</w:t>
            </w:r>
            <w:r>
              <w:rPr>
                <w:sz w:val="24"/>
                <w:szCs w:val="24"/>
                <w:lang w:val="en-US"/>
              </w:rPr>
              <w:t xml:space="preserve"> </w:t>
            </w:r>
            <w:r>
              <w:rPr>
                <w:sz w:val="24"/>
                <w:szCs w:val="24"/>
              </w:rPr>
              <w:t>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50</w:t>
            </w:r>
            <w:r>
              <w:rPr>
                <w:sz w:val="24"/>
                <w:szCs w:val="24"/>
                <w:lang w:val="en-US"/>
              </w:rPr>
              <w:t xml:space="preserve"> </w:t>
            </w:r>
            <w:r>
              <w:rPr>
                <w:sz w:val="24"/>
                <w:szCs w:val="24"/>
              </w:rPr>
              <w:t>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Предоставление консультационных услуг (работ) по разработке, </w:t>
              <w:br/>
              <w:t>а также подготовка положений (уставов), проектов документов, юридических заключений, регламентов, положений, инструкций и иных правовых, в том числе учредительных документов, экспертиза указанных документов</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Одна консультация,</w:t>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проект документа</w:t>
            </w:r>
          </w:p>
          <w:p>
            <w:pPr>
              <w:pStyle w:val="2"/>
              <w:widowControl w:val="false"/>
              <w:shd w:val="clear" w:color="auto" w:fill="auto"/>
              <w:tabs>
                <w:tab w:val="clear" w:pos="709"/>
                <w:tab w:val="left" w:pos="1306" w:leader="none"/>
              </w:tabs>
              <w:bidi w:val="0"/>
              <w:spacing w:lineRule="auto" w:line="276"/>
              <w:ind w:hanging="0"/>
              <w:jc w:val="both"/>
              <w:rPr>
                <w:sz w:val="24"/>
                <w:szCs w:val="24"/>
              </w:rPr>
            </w:pPr>
            <w:r>
              <w:rPr>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20 000,00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30 000,00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16</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Предоставление консультационных услуг (работ) и подготовка проектов извещений, документации об осуществлении закупки товаров, работ, услуг, иных документов, необходимых для осуществления соответствующих закупок. </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Один комплект документов на одну закупку</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10 000,00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15 000,00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20 000,00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17</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Предоставление консультационных услуг (работ) и сопровождение мероприятий по регистрации, реорганизации, ликвидации юридических лиц.</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Одно мероприятие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30 000,00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70 000,00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150</w:t>
            </w:r>
            <w:r>
              <w:rPr>
                <w:sz w:val="24"/>
                <w:szCs w:val="24"/>
                <w:lang w:val="en-US"/>
              </w:rPr>
              <w:t xml:space="preserve"> </w:t>
            </w:r>
            <w:r>
              <w:rPr>
                <w:sz w:val="24"/>
                <w:szCs w:val="24"/>
              </w:rPr>
              <w:t>000,00</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18</w:t>
            </w:r>
          </w:p>
        </w:tc>
        <w:tc>
          <w:tcPr>
            <w:tcW w:w="3261"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 xml:space="preserve">Предоставление консультационных услуг (работ) и представление интересов в органах государственной власти, органах местного самоуправления, судебных органах, правоохранительных </w:t>
              <w:br/>
              <w:t>и надзорных органах, а также других организаций*</w:t>
            </w:r>
          </w:p>
        </w:tc>
        <w:tc>
          <w:tcPr>
            <w:tcW w:w="1983"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По одному делу/судебному разбирательству на одной процессуальной стадии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rPr>
                <w:sz w:val="24"/>
                <w:szCs w:val="24"/>
              </w:rPr>
            </w:pPr>
            <w:r>
              <w:rPr>
                <w:sz w:val="24"/>
                <w:szCs w:val="24"/>
              </w:rPr>
              <w:t>40 000,00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70 000,00</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r>
          </w:p>
          <w:p>
            <w:pPr>
              <w:pStyle w:val="2"/>
              <w:widowControl w:val="false"/>
              <w:shd w:val="clear" w:color="auto" w:fill="auto"/>
              <w:tabs>
                <w:tab w:val="clear" w:pos="709"/>
                <w:tab w:val="left" w:pos="614" w:leader="none"/>
              </w:tabs>
              <w:bidi w:val="0"/>
              <w:spacing w:lineRule="auto" w:line="276"/>
              <w:ind w:hanging="0"/>
              <w:jc w:val="both"/>
              <w:rPr>
                <w:sz w:val="24"/>
                <w:szCs w:val="24"/>
              </w:rPr>
            </w:pPr>
            <w:r>
              <w:rPr>
                <w:sz w:val="24"/>
                <w:szCs w:val="24"/>
              </w:rPr>
              <w:t>150 000,00</w:t>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2"/>
        <w:tabs>
          <w:tab w:val="clear" w:pos="709"/>
          <w:tab w:val="left" w:pos="614" w:leader="none"/>
        </w:tabs>
        <w:bidi w:val="0"/>
        <w:spacing w:lineRule="auto" w:line="276"/>
        <w:ind w:hanging="0"/>
        <w:rPr>
          <w:b/>
          <w:bCs/>
        </w:rPr>
      </w:pPr>
      <w:r>
        <w:rPr>
          <w:b/>
          <w:bCs/>
        </w:rPr>
        <w:t>Перечень</w:t>
      </w:r>
    </w:p>
    <w:p>
      <w:pPr>
        <w:pStyle w:val="2"/>
        <w:tabs>
          <w:tab w:val="clear" w:pos="709"/>
          <w:tab w:val="left" w:pos="614" w:leader="none"/>
        </w:tabs>
        <w:bidi w:val="0"/>
        <w:spacing w:lineRule="auto" w:line="276"/>
        <w:ind w:hanging="0"/>
        <w:rPr/>
      </w:pPr>
      <w:r>
        <w:rPr/>
        <w:t xml:space="preserve">платных услуг (работ) по основным видам деятельности и размер платы </w:t>
        <w:br/>
        <w:t>за услуги (работы) по основным видам деятельности</w:t>
        <w:br/>
        <w:t>ФГБУ «РосАПКимущество»</w:t>
      </w:r>
    </w:p>
    <w:p>
      <w:pPr>
        <w:pStyle w:val="Normal"/>
        <w:bidi w:val="0"/>
        <w:jc w:val="left"/>
        <w:rPr/>
      </w:pPr>
      <w:r>
        <w:rPr/>
      </w:r>
    </w:p>
    <w:p>
      <w:pPr>
        <w:pStyle w:val="Normal"/>
        <w:bidi w:val="0"/>
        <w:jc w:val="left"/>
        <w:rPr/>
      </w:pPr>
      <w:r>
        <w:rPr/>
      </w:r>
    </w:p>
    <w:tbl>
      <w:tblPr>
        <w:tblStyle w:val="ac"/>
        <w:tblW w:w="935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00"/>
        <w:gridCol w:w="5064"/>
        <w:gridCol w:w="1986"/>
        <w:gridCol w:w="1701"/>
      </w:tblGrid>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b/>
                <w:sz w:val="24"/>
                <w:szCs w:val="24"/>
              </w:rPr>
            </w:pPr>
            <w:r>
              <w:rPr>
                <w:b/>
                <w:kern w:val="0"/>
                <w:sz w:val="24"/>
                <w:szCs w:val="24"/>
                <w:lang w:val="ru-RU"/>
              </w:rPr>
              <w:t xml:space="preserve">№ </w:t>
            </w:r>
            <w:r>
              <w:rPr>
                <w:b/>
                <w:kern w:val="0"/>
                <w:sz w:val="24"/>
                <w:szCs w:val="24"/>
                <w:lang w:val="ru-RU"/>
              </w:rPr>
              <w:t>п/п</w:t>
            </w:r>
          </w:p>
        </w:tc>
        <w:tc>
          <w:tcPr>
            <w:tcW w:w="5064" w:type="dxa"/>
            <w:tcBorders/>
          </w:tcPr>
          <w:p>
            <w:pPr>
              <w:pStyle w:val="2"/>
              <w:widowControl w:val="false"/>
              <w:tabs>
                <w:tab w:val="clear" w:pos="709"/>
                <w:tab w:val="left" w:pos="614" w:leader="none"/>
              </w:tabs>
              <w:bidi w:val="0"/>
              <w:spacing w:lineRule="auto" w:line="276" w:before="0" w:after="0"/>
              <w:ind w:hanging="0"/>
              <w:rPr>
                <w:b/>
                <w:sz w:val="24"/>
                <w:szCs w:val="24"/>
              </w:rPr>
            </w:pPr>
            <w:r>
              <w:rPr>
                <w:b/>
                <w:kern w:val="0"/>
                <w:sz w:val="24"/>
                <w:szCs w:val="24"/>
                <w:lang w:val="ru-RU"/>
              </w:rPr>
              <w:t>Наименование платной услуги</w:t>
            </w:r>
          </w:p>
        </w:tc>
        <w:tc>
          <w:tcPr>
            <w:tcW w:w="1986" w:type="dxa"/>
            <w:tcBorders/>
          </w:tcPr>
          <w:p>
            <w:pPr>
              <w:pStyle w:val="2"/>
              <w:widowControl w:val="false"/>
              <w:shd w:val="clear" w:color="auto" w:fill="auto"/>
              <w:tabs>
                <w:tab w:val="clear" w:pos="709"/>
                <w:tab w:val="left" w:pos="614" w:leader="none"/>
              </w:tabs>
              <w:bidi w:val="0"/>
              <w:spacing w:lineRule="auto" w:line="259" w:before="0" w:after="0"/>
              <w:ind w:hanging="0"/>
              <w:rPr>
                <w:b/>
                <w:sz w:val="24"/>
                <w:szCs w:val="24"/>
              </w:rPr>
            </w:pPr>
            <w:r>
              <w:rPr>
                <w:b/>
                <w:kern w:val="0"/>
                <w:sz w:val="24"/>
                <w:szCs w:val="24"/>
                <w:lang w:val="ru-RU"/>
              </w:rPr>
              <w:t>Единица измерения</w:t>
            </w:r>
          </w:p>
        </w:tc>
        <w:tc>
          <w:tcPr>
            <w:tcW w:w="1701" w:type="dxa"/>
            <w:tcBorders/>
          </w:tcPr>
          <w:p>
            <w:pPr>
              <w:pStyle w:val="2"/>
              <w:widowControl w:val="false"/>
              <w:shd w:val="clear" w:color="auto" w:fill="auto"/>
              <w:tabs>
                <w:tab w:val="clear" w:pos="709"/>
                <w:tab w:val="left" w:pos="614" w:leader="none"/>
              </w:tabs>
              <w:bidi w:val="0"/>
              <w:spacing w:lineRule="auto" w:line="259" w:before="0" w:after="0"/>
              <w:ind w:hanging="0"/>
              <w:rPr>
                <w:b/>
                <w:sz w:val="24"/>
                <w:szCs w:val="24"/>
              </w:rPr>
            </w:pPr>
            <w:r>
              <w:rPr>
                <w:b/>
                <w:kern w:val="0"/>
                <w:sz w:val="24"/>
                <w:szCs w:val="24"/>
                <w:lang w:val="ru-RU"/>
              </w:rPr>
              <w:t>Размер платы, руб.</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1</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w:t>
              <w:br/>
              <w:t xml:space="preserve">по предварительной проверке комплектности </w:t>
              <w:br/>
              <w:t xml:space="preserve">и достоверности документов, предоставляемых подведомственными организациями </w:t>
              <w:br/>
              <w:t xml:space="preserve">в Минсельхоз России для принятия решения </w:t>
              <w:br/>
              <w:t>о списании объектов особо ценного движимого имущества (ОЦДИ), за исключением спецтехники</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2 000,00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2</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w:t>
              <w:br/>
              <w:t xml:space="preserve">по предварительной проверке комплектности </w:t>
              <w:br/>
              <w:t xml:space="preserve">и достоверности документов, предоставляемых подведомственными организациями </w:t>
              <w:br/>
              <w:t xml:space="preserve">в Минсельхоз России для принятия решения </w:t>
              <w:br/>
              <w:t>о списании объектов особо ценного движимого имущества – спецтехники (грейдеры, бульдозеры, экскаваторы, скреперы, краны, цистерны, бетономешалки, рефрижераторы, длинномеры, бензовозы и другие типы спецтехники)</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4 000,00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3</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w:t>
              <w:br/>
              <w:t xml:space="preserve">по предварительной проверке комплектности </w:t>
              <w:br/>
              <w:t xml:space="preserve">и достоверности документов, предоставляемых подведомственными организациями </w:t>
              <w:br/>
              <w:t xml:space="preserve">в Минсельхоз России для принятия решения </w:t>
              <w:br/>
              <w:t xml:space="preserve">о списании объектов капитального строительства (ОКС) 1-й категории сложности (см. таблица Категории сложности зданий </w:t>
              <w:br/>
              <w:t>и сооружений) и с объемностью материалов для исследования до 80 листов (включительно)</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4 000,00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4</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w:t>
              <w:br/>
              <w:t xml:space="preserve">по предварительной проверке комплектности </w:t>
              <w:br/>
              <w:t xml:space="preserve">и достоверности документов, предоставляемых подведомственными организациями </w:t>
              <w:br/>
              <w:t xml:space="preserve">в Минсельхоз России для принятия решения </w:t>
              <w:br/>
              <w:t xml:space="preserve">о списании объектов капитального строительства (ОКС) 2-й категорий сложности (см. таблица Категории сложности зданий </w:t>
              <w:br/>
              <w:t>и сооружений) или с объемностью материалов для исследования более 80 листов и менее 100 листов (включительно)</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6 000,00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5</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w:t>
              <w:br/>
              <w:t xml:space="preserve">по предварительной проверке комплектности </w:t>
              <w:br/>
              <w:t xml:space="preserve">и достоверности документов, предоставляемых подведомственными организациями </w:t>
              <w:br/>
              <w:t xml:space="preserve">в Минсельхоз России для принятия решения </w:t>
              <w:br/>
              <w:t xml:space="preserve">о списании объектов капитального строительства (ОКС) 3-й категорий сложности (см. таблица Категории сложности зданий </w:t>
              <w:br/>
              <w:t>и сооружений) или с объемностью материалов для исследования более 100 листов</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8 000,00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6</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по предварительной проверке комплектности </w:t>
              <w:br/>
              <w:t xml:space="preserve">и достоверности документов, предоставляемых подведомственными организациями </w:t>
              <w:br/>
              <w:t>в Минсельхоз России, являющихся основанием для внесения  изменений в Перечень (утверждения в новой редакции) особо ценного движимого имущества (ОЦДИ), закрепленного учредителем за подведомственными Минсельхозу России федеральными государственными бюджетными учреждениями, или приобретенного данными учреждениями за счет средств, выделенных им учредителем на приобретение такого имущества, в части приобретения объекта ОЦДИ, за исключением спецтехники</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2 000,00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7</w:t>
            </w:r>
          </w:p>
        </w:tc>
        <w:tc>
          <w:tcPr>
            <w:tcW w:w="5064" w:type="dxa"/>
            <w:tcBorders/>
          </w:tcPr>
          <w:p>
            <w:pPr>
              <w:pStyle w:val="2"/>
              <w:widowControl w:val="false"/>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Консультационная помощь по предварительной проверке комплектности </w:t>
              <w:br/>
              <w:t xml:space="preserve">и достоверности документов, предоставляемых подведомственными организациями </w:t>
              <w:br/>
              <w:t>в Минсельхоз России, являющихся основанием для внесения  изменений в Перечень (утверждения в новой редакции) особо ценного движимого имущества (ОЦДИ), закрепленного учредителем за подведомственными Минсельхозу России федеральными государственными бюджетными учреждениями, или приобретенного данными учреждениями за счет средств, выделенных им учредителем на приобретение такого имущества, в части приобретения объекта ОЦДИ–спецтехники (грейдеры, бульдозеры, экскаваторы, скреперы, краны, цистерны, бетономешалки, рефрижераторы, длинномеры, бензовозы и другие типы спецтехники)</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4 000,00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8</w:t>
            </w:r>
          </w:p>
        </w:tc>
        <w:tc>
          <w:tcPr>
            <w:tcW w:w="5064"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Организация и проведение семинаров, в том числе в режиме онлайн посредством удаленного доступа через информационно-телекоммуникационную сеть «Интернет» (вебинаров), по вопросам сферы деятельности Учреждения</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Очное участие одного человека (удаленный доступ по одному логину)</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2 500,00</w:t>
            </w:r>
          </w:p>
        </w:tc>
      </w:tr>
      <w:tr>
        <w:trPr/>
        <w:tc>
          <w:tcPr>
            <w:tcW w:w="600" w:type="dxa"/>
            <w:tcBorders/>
          </w:tcPr>
          <w:p>
            <w:pPr>
              <w:pStyle w:val="2"/>
              <w:widowControl w:val="false"/>
              <w:shd w:val="clear" w:color="auto" w:fill="auto"/>
              <w:tabs>
                <w:tab w:val="clear" w:pos="709"/>
                <w:tab w:val="left" w:pos="614" w:leader="none"/>
              </w:tabs>
              <w:bidi w:val="0"/>
              <w:spacing w:lineRule="auto" w:line="259" w:before="0" w:after="0"/>
              <w:ind w:hanging="0"/>
              <w:rPr>
                <w:sz w:val="24"/>
                <w:szCs w:val="24"/>
              </w:rPr>
            </w:pPr>
            <w:r>
              <w:rPr>
                <w:kern w:val="0"/>
                <w:sz w:val="24"/>
                <w:szCs w:val="24"/>
                <w:lang w:val="ru-RU"/>
              </w:rPr>
              <w:t>9</w:t>
            </w:r>
          </w:p>
        </w:tc>
        <w:tc>
          <w:tcPr>
            <w:tcW w:w="5064"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 xml:space="preserve">Формирование план-графиков регистрации прав в соответствии с поступающими поручениями Росимущества </w:t>
            </w:r>
          </w:p>
        </w:tc>
        <w:tc>
          <w:tcPr>
            <w:tcW w:w="1986"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Один объект имущества, входящий в план-график</w:t>
            </w:r>
          </w:p>
        </w:tc>
        <w:tc>
          <w:tcPr>
            <w:tcW w:w="1701" w:type="dxa"/>
            <w:tcBorders/>
          </w:tcPr>
          <w:p>
            <w:pPr>
              <w:pStyle w:val="2"/>
              <w:widowControl w:val="false"/>
              <w:shd w:val="clear" w:color="auto" w:fill="auto"/>
              <w:tabs>
                <w:tab w:val="clear" w:pos="709"/>
                <w:tab w:val="left" w:pos="614" w:leader="none"/>
              </w:tabs>
              <w:bidi w:val="0"/>
              <w:spacing w:lineRule="auto" w:line="276" w:before="0" w:after="0"/>
              <w:ind w:hanging="0"/>
              <w:jc w:val="both"/>
              <w:rPr>
                <w:sz w:val="24"/>
                <w:szCs w:val="24"/>
              </w:rPr>
            </w:pPr>
            <w:r>
              <w:rPr>
                <w:kern w:val="0"/>
                <w:sz w:val="24"/>
                <w:szCs w:val="24"/>
                <w:lang w:val="ru-RU"/>
              </w:rPr>
              <w:t>50,00</w:t>
            </w:r>
          </w:p>
        </w:tc>
      </w:tr>
    </w:tbl>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Lohit Devanagari"/>
    </w:rPr>
  </w:style>
  <w:style w:type="paragraph" w:styleId="Style17">
    <w:name w:val="Caption"/>
    <w:basedOn w:val="Normal"/>
    <w:qFormat/>
    <w:pPr>
      <w:suppressLineNumbers/>
      <w:spacing w:before="120" w:after="120"/>
    </w:pPr>
    <w:rPr>
      <w:rFonts w:ascii="Times New Roman" w:hAnsi="Times New Roman" w:cs="Lohit Devanagari"/>
      <w:i/>
      <w:iCs/>
      <w:sz w:val="24"/>
      <w:szCs w:val="24"/>
    </w:rPr>
  </w:style>
  <w:style w:type="paragraph" w:styleId="Style18">
    <w:name w:val="Указатель"/>
    <w:basedOn w:val="Normal"/>
    <w:qFormat/>
    <w:pPr>
      <w:suppressLineNumbers/>
    </w:pPr>
    <w:rPr>
      <w:rFonts w:ascii="Times New Roman" w:hAnsi="Times New Roman" w:cs="Lohit Devanagari"/>
    </w:rPr>
  </w:style>
  <w:style w:type="paragraph" w:styleId="2">
    <w:name w:val="Основной текст (2)"/>
    <w:basedOn w:val="Normal"/>
    <w:qFormat/>
    <w:pPr>
      <w:shd w:val="clear" w:color="auto" w:fill="FFFFFF"/>
      <w:spacing w:lineRule="exact" w:line="322"/>
      <w:ind w:hanging="1980"/>
      <w:jc w:val="center"/>
    </w:pPr>
    <w:rPr>
      <w:rFonts w:ascii="Times New Roman" w:hAnsi="Times New Roman" w:eastAsia="Times New Roman" w:cs="Times New Roman"/>
      <w:color w:val="00000A"/>
      <w:sz w:val="28"/>
      <w:szCs w:val="28"/>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LibreOffice/7.5.2.2$Linux_X86_64 LibreOffice_project/50$Build-2</Application>
  <AppVersion>15.0000</AppVersion>
  <Pages>7</Pages>
  <Words>1035</Words>
  <Characters>7633</Characters>
  <CharactersWithSpaces>8578</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2023-04-21T09:17:05Z</dcterms:created>
  <dc:creator/>
  <dc:description/>
  <dc:language>ru-RU</dc:language>
  <cp:lastModifiedBy/>
  <dcterms:modified xsi:type="dcterms:W3CDTF">2023-04-21T09:32:16Z</dcterms:modified>
  <cp:revision>1</cp:revision>
  <dc:subject/>
  <dc:title/>
</cp:coreProperties>
</file>